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ПРОЕКТ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2"/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ПРАВИТЕЛЬСТВО ЕВРЕЙСКОЙ АВТОНОМНОЙ ОБЛАСТИ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pStyle w:val="89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pStyle w:val="88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  <w:tab/>
        <w:t xml:space="preserve">          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82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на 2020 − 2025 годы, утвержденную постановлением правительства Еврейской автономной области от 29.10.2019 № 366-пп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</w:rPr>
      </w:r>
      <w:bookmarkStart w:id="0" w:name="Par1080"/>
      <w:r>
        <w:rPr>
          <w:color w:val="auto"/>
        </w:rPr>
      </w:r>
      <w:bookmarkEnd w:id="0"/>
      <w:r>
        <w:rPr>
          <w:color w:val="auto"/>
        </w:rPr>
      </w:r>
      <w:bookmarkStart w:id="1" w:name="Par1096"/>
      <w:r>
        <w:rPr>
          <w:color w:val="auto"/>
        </w:rPr>
      </w:r>
      <w:bookmarkEnd w:id="1"/>
      <w:r>
        <w:rPr>
          <w:color w:val="auto"/>
        </w:rPr>
      </w:r>
      <w:bookmarkStart w:id="2" w:name="Par1238"/>
      <w:r>
        <w:rPr>
          <w:color w:val="auto"/>
        </w:rPr>
      </w:r>
      <w:bookmarkEnd w:id="2"/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Вн</w:t>
      </w:r>
      <w:r>
        <w:rPr>
          <w:rFonts w:ascii="Times New Roman" w:hAnsi="Times New Roman"/>
          <w:color w:val="auto"/>
          <w:sz w:val="28"/>
          <w:szCs w:val="28"/>
        </w:rPr>
        <w:t xml:space="preserve">ести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на 2020 − 2025 годы, утвержденную постановлением правительства Еврейской автономной области от 29.10.2019 № 366-пп «О государственной программе Еврейско</w:t>
      </w:r>
      <w:r>
        <w:rPr>
          <w:rFonts w:ascii="Times New Roman" w:hAnsi="Times New Roman"/>
          <w:color w:val="auto"/>
          <w:sz w:val="28"/>
          <w:szCs w:val="28"/>
        </w:rPr>
        <w:t xml:space="preserve">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годы», следующие изменения</w:t>
      </w:r>
      <w:r>
        <w:rPr>
          <w:rFonts w:ascii="Times New Roman" w:hAnsi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Строку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Ресурсное обеспечен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      в том числе по годам</w:t>
      </w:r>
      <w:r>
        <w:rPr>
          <w:rFonts w:ascii="Times New Roman" w:hAnsi="Times New Roman"/>
          <w:color w:val="auto"/>
          <w:sz w:val="28"/>
          <w:szCs w:val="28"/>
        </w:rPr>
        <w:t xml:space="preserve">» раздела 1 «Паспорт государственной программы Еврейской автономной области «Предоставление</w:t>
      </w:r>
      <w:r>
        <w:rPr>
          <w:rFonts w:ascii="Times New Roman" w:hAnsi="Times New Roman"/>
          <w:color w:val="auto"/>
          <w:sz w:val="28"/>
          <w:szCs w:val="28"/>
        </w:rPr>
        <w:t xml:space="preserve"> мер социальной 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годы» изложить                          в следующей редакции: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«Ресурсное обе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Общий объем финансирования государственной программы за счет средств областного бюджета составля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ет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559589,5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тыс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рублей, в том числе            по годам: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115121,8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106945,8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106918,7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108290,8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61156,2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61156,2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федерального бюджета –                 4288,9 тыс. рублей, в том числе по годам: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2450,4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1838,5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0,0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0,0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0,0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2025 год – 0,0 тыс. рублей».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Раздел 9 «Ресурсное обеспечение реализации государственной программы» 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709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5" w:h="16838" w:orient="portrait"/>
          <w:pgMar w:top="1134" w:right="851" w:bottom="1134" w:left="1701" w:header="567" w:footer="295" w:gutter="0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  <w:t xml:space="preserve">«9. Ресурсное обеспечение реализации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right="-456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right="-456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left="12036" w:right="-456" w:firstLine="708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Таблица 3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Ресурсное обеспечение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</w:t>
      </w:r>
      <w:r>
        <w:rPr>
          <w:rFonts w:ascii="Times New Roman" w:hAnsi="Times New Roman"/>
          <w:color w:val="auto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/>
          <w:color w:val="auto"/>
          <w:sz w:val="28"/>
          <w:szCs w:val="28"/>
        </w:rPr>
        <w:t xml:space="preserve">бюджета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157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709"/>
        <w:gridCol w:w="709"/>
        <w:gridCol w:w="1275"/>
        <w:gridCol w:w="993"/>
        <w:gridCol w:w="992"/>
        <w:gridCol w:w="992"/>
        <w:gridCol w:w="879"/>
        <w:gridCol w:w="113"/>
        <w:gridCol w:w="993"/>
        <w:gridCol w:w="992"/>
        <w:gridCol w:w="992"/>
      </w:tblGrid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6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8"/>
            <w:tcW w:w="694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Расходы (тыс. рублей), годы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ГРБС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2020 год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2021 год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2022 год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2023 год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2024 год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2025 год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«Предоставление мер социальной поддержки отдельным категориям  граждан, семьям, детям-сиротам  и детям, оставшимся без попечения родителей, проживающим на территории Еврейской автономной области»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2800000000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55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589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115121,8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106945,8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108290,8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216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13"/>
            <w:tcW w:w="150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Задача: развитие семейного устройства детей-сирот и детей, оставшихся без попечения родителей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 Предоставление мер социальной поддержки детям-сиротам и детям, оставшимся без попечения родителей, 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2800100000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526606,8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107726,1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100191,2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100682,7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102148,4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денежных средств на содержание детей в семьях опекунов (попечителей) и приемных семьях, вознаграждения, причитающегося приемному родителю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населения правительства Еврейской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2800113150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106403,5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106403,5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автономной области,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ОГБУ «МФЦ»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ОГБУ «МФЦ»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2800113150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407664,4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99080,8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98509,1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97038,1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Обеспечение расходов, связанных                   с оплатой проезда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обучающихся в областных                             или муниципальных образовательных организациях, осуществляющих образовательную деятельность                         по основным образовательным программам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582,3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582,3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5590,4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703,6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1433,8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1623,4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денежных средств                               на проведение ремонта жилых помещений, принадлежащих                        на праве собственности детям-сиротам, детям, оставшимся без попечения родителей, лицам из их числа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247,5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247,5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2800186140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625,4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92,0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98,0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105,4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области,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ОГБУ «МФЦ»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денежных средств приемным семьям, имеющим трех и более приемных детей, на приобретение мебели для детей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2800186240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2800186240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1390,0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1581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вознаграждения наставнику, заключившему договор                                    о постинтернатном сопровождении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2800120530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вознаграждения наставнику по договору о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наставничестве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над лицами из числа детей-сирот                    и детей, оставшихся без попечения родителей, в возрасте от 18 до 23 лет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86350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193,5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Предоставление бесплатного проезда </w:t>
            </w:r>
            <w:r>
              <w:rPr>
                <w:rFonts w:ascii="Times New Roman" w:hAnsi="Times New Roman"/>
                <w:color w:val="auto"/>
              </w:rPr>
              <w:t xml:space="preserve">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нуждающимся в длительном лечении, до местонахождения санаторно- курортных или оздоровительных организаций  и обратно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2800170650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0707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2800170650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451,4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110,8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104,2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1.1.8</w:t>
            </w:r>
            <w:r/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Предоставление ежемесячной денежной выплаты на каждого ребенка, переданного под опеку (попечительство) из областных государственных учреждений для несовершеннолетних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</w:t>
            </w:r>
            <w:r/>
          </w:p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2800113160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 xml:space="preserve">2610,0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2610,0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2. Информационное обеспечение деятельности по развитию семейного устройства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2800300000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1.2.4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участия лиц из числа детей-сирот и детей, оставшихся без попечения родителей, в мероприятиях за пределами Еврейской автономной области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28003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86380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gridSpan w:val="13"/>
            <w:tcW w:w="150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Задача: обеспечение социальной поддержки лиц, осуществляющих уход за совершеннолетними недееспособными гражданами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3. Предоставление мер социальной поддержки гражданам, осуществляю-щим уход за совершеннолетними недееспособными гражданами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2800200000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32912,7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7395,7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6754,6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6142,4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2800220520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5422,4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5422,4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2800220520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14551,3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4154,6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10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3114,1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2.1.2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2800220540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1973,3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1973,3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2800220540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10965,7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3028,3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firstLine="284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right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2"/>
      </w:pPr>
      <w:r>
        <w:rPr>
          <w:rFonts w:ascii="Times New Roman" w:hAnsi="Times New Roman"/>
          <w:color w:val="auto"/>
          <w:sz w:val="28"/>
          <w:szCs w:val="28"/>
        </w:rPr>
        <w:t xml:space="preserve">Таблица 4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ind w:right="-456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Информация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ресурсном обеспечении государственной программы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Еврейской автономной области «Предоставление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мер социальной поддержки отдельным категориям граждан, семьям, детям-сиротам и детям, оставшимся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без попечения родителей, проживающим на территории Еврейской автономной области»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на 2020 − 2025 годы </w:t>
      </w:r>
      <w:r>
        <w:rPr>
          <w:rFonts w:ascii="Times New Roman" w:hAnsi="Times New Roman"/>
          <w:color w:val="auto"/>
          <w:sz w:val="28"/>
          <w:szCs w:val="28"/>
        </w:rPr>
        <w:t xml:space="preserve">за счет средств областного бюджета и прогнозная оценка привлекаемых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реализацию ее целей средств федерального бюджета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1527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4232"/>
        <w:gridCol w:w="2543"/>
        <w:gridCol w:w="1305"/>
        <w:gridCol w:w="992"/>
        <w:gridCol w:w="1132"/>
        <w:gridCol w:w="1132"/>
        <w:gridCol w:w="1132"/>
        <w:gridCol w:w="1132"/>
        <w:gridCol w:w="966"/>
      </w:tblGrid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Источники ресурсного обеспечения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6"/>
            <w:tcW w:w="648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Оценка расходов (тыс. рублей), годы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563878,4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117572,2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108784,3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108290,8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97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55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589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,5</w:t>
            </w:r>
            <w:r/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115121,8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106945,8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108290,8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73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4288,9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2450,4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1838,5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375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97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244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9"/>
            <w:tcW w:w="145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Задача: развитие семейного устройства детей-сирот и детей, оставшихся без попечения родителей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 Предоставление     мер социальной поддержки детям-сиротам         и детям, оставшимся без попечения родителей, лицам из их числа, семьям, воспитывающим детей-сирот и детей, оставшихся без попечения родителей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530895,7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110176,5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102029,7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0682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102148,4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526606,8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107726,1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100191,2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100682,7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102148,4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4288,9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2450,4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1838,5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50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79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денежных средств на содержание детей в семьях опекунов (попечителей) и приемных семьях, вознаграждения, причитающегося приемному родителю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514067,9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106403,5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99080,8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98509,1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97038,1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97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514067,9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106403,5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99080,8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98509,1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97038,1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62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265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Обеспечение расходов, связанных с оплатой проезда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обучающихся в областных или муниципальных образователь-ных организациях, </w:t>
            </w:r>
            <w:r>
              <w:rPr>
                <w:rFonts w:ascii="Times New Roman" w:hAnsi="Times New Roman"/>
                <w:color w:val="auto"/>
              </w:rPr>
              <w:t xml:space="preserve">осуществляющих образовательную деятельность по основным образовательным программам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6172,7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582,3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703,6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1433,8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1623,4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59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6172,7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582,3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703,6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1433,8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1623,4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35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478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47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денежных средств                               на проведение ремонта жилых помещений, принадлежащих на праве собственности детям-сиротам, детям, оставшимся без попечения родителей, лицам из их числа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872,9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247,5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105,4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92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872,9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247,5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105,4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25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399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3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23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денежных средств приемным семьям, имеющим трех и более приемных детей, на приобретение мебели для детей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1690,0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56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1690,0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02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46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16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вознаграждения наставнику, заключившему договор о постинтернатном сопровождении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6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0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04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вознаграждения наставнику по договору о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наставничестве над лицами из числа детей-сирот и детей,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оставшихся без попечения родителей,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 возрасте от 18            до 23 лет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193,5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0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193,5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0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0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0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37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Предоставление бесплатного                  проезда </w:t>
            </w:r>
            <w:r>
              <w:rPr>
                <w:rFonts w:ascii="Times New Roman" w:hAnsi="Times New Roman"/>
                <w:color w:val="auto"/>
              </w:rPr>
              <w:t xml:space="preserve">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нуждающимся                           в длительном лечении, до местонахождения санаторно-курортных или оздоровительных 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110,8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104,2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7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110,8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104,2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78,0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7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81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281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281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организаций и обратно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единовременного пособия при всех формах устройства детей, лишенных родительского попечения, в семью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4288,9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2450,4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1838,5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4288,9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2450,4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1838,5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294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1.1.9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Предоставление ежемесячной денежной выплаты на каждого ребенка, переданного под опеку (попечительство) из областных государственных учреждений для несовершеннолетних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2610,0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2610,0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2610,0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2610,0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Основное мероприятие 2. Информационное обеспечение деятельности по развитию семейного устройства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1.2.4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Обеспечение участия лиц из числа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 мероприятиях за пределами Еврейской автономной области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94"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9"/>
            <w:tcW w:w="145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Задача: обеспечение социальной поддержки лиц, осуществляющих уход за совершеннолетними недееспособными гражданами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46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3. Предоставление мер социальной поддержки гражданам, осуществляющим уход за совершеннолетними недееспособными гражданами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32912,7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7395,7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6754,6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6142,4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32912,7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7395,7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6754,6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6142,4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вознаграждения, причитающегося опекунам совершеннолетних недееспособных граждан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19973,7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5422,4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4154,6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3114,1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19973,7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5422,4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4154,6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3114,1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2.1.2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12939,0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1973,3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3028,3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12939,0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1973,3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2600,0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3028,3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3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882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right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701" w:right="680" w:bottom="1134" w:left="1134" w:header="567" w:footer="295" w:gutter="0"/>
          <w:cols w:num="1" w:sep="0" w:space="720" w:equalWidth="1"/>
          <w:docGrid w:linePitch="360"/>
        </w:sectPr>
        <w:outlineLvl w:val="2"/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882"/>
        <w:jc w:val="right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2"/>
      </w:pPr>
      <w:r>
        <w:rPr>
          <w:rFonts w:ascii="Times New Roman" w:hAnsi="Times New Roman"/>
          <w:color w:val="auto"/>
          <w:sz w:val="28"/>
          <w:szCs w:val="28"/>
        </w:rPr>
        <w:t xml:space="preserve">Таблица 5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Структура финансирования государственной программы 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134"/>
        <w:gridCol w:w="992"/>
        <w:gridCol w:w="993"/>
        <w:gridCol w:w="992"/>
        <w:gridCol w:w="1134"/>
      </w:tblGrid>
      <w:tr>
        <w:trPr>
          <w:cantSplit/>
        </w:trPr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 направления расходов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7"/>
            <w:tcW w:w="7229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Расходы (тыс. рублей), годы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230"/>
        </w:trPr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gridSpan w:val="6"/>
            <w:tcW w:w="623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 том числе по годам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559589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115121,8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106945,8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108290,8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4288,9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2450,4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1838,5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Капитальные вложения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НИОКР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Прочие расходы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559589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,5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115121,8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106945,8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108290,8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82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4288,9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2450,4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1838,5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0,0».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882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882"/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  <w:outlineLvl w:val="0"/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/>
          <w:color w:val="auto"/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Р.Э. Гольдштейн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sectPr>
      <w:headerReference w:type="default" r:id="rId11"/>
      <w:footnotePr/>
      <w:endnotePr/>
      <w:type w:val="nextPage"/>
      <w:pgSz w:w="11905" w:h="16838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9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8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paragraph" w:styleId="883">
    <w:name w:val="Заголовок 1"/>
    <w:basedOn w:val="882"/>
    <w:next w:val="882"/>
    <w:link w:val="887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styleId="884">
    <w:name w:val="Основной шрифт абзаца"/>
    <w:next w:val="884"/>
    <w:link w:val="882"/>
    <w:uiPriority w:val="1"/>
    <w:semiHidden/>
    <w:unhideWhenUsed/>
  </w:style>
  <w:style w:type="table" w:styleId="885">
    <w:name w:val="Обычная таблица"/>
    <w:next w:val="885"/>
    <w:link w:val="882"/>
    <w:uiPriority w:val="99"/>
    <w:semiHidden/>
    <w:unhideWhenUsed/>
    <w:tblPr/>
  </w:style>
  <w:style w:type="numbering" w:styleId="886">
    <w:name w:val="Нет списка"/>
    <w:next w:val="886"/>
    <w:link w:val="882"/>
    <w:uiPriority w:val="99"/>
    <w:semiHidden/>
    <w:unhideWhenUsed/>
  </w:style>
  <w:style w:type="character" w:styleId="887">
    <w:name w:val="Заголовок 1 Знак"/>
    <w:next w:val="887"/>
    <w:link w:val="883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88">
    <w:name w:val="ConsPlusNormal"/>
    <w:next w:val="888"/>
    <w:link w:val="88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Верхний колонтитул"/>
    <w:basedOn w:val="882"/>
    <w:next w:val="889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>
    <w:name w:val="Верхний колонтитул Знак"/>
    <w:next w:val="890"/>
    <w:link w:val="889"/>
    <w:uiPriority w:val="99"/>
    <w:rPr>
      <w:rFonts w:ascii="Calibri" w:hAnsi="Calibri" w:cs="Times New Roman"/>
    </w:rPr>
  </w:style>
  <w:style w:type="table" w:styleId="891">
    <w:name w:val="Сетка таблицы"/>
    <w:basedOn w:val="885"/>
    <w:next w:val="891"/>
    <w:link w:val="882"/>
    <w:uiPriority w:val="59"/>
    <w:pPr>
      <w:spacing w:after="0" w:line="240" w:lineRule="auto"/>
    </w:pPr>
    <w:rPr>
      <w:rFonts w:cs="Times New Roman"/>
    </w:rPr>
    <w:tblPr/>
  </w:style>
  <w:style w:type="paragraph" w:styleId="892">
    <w:name w:val="Основной текст"/>
    <w:basedOn w:val="882"/>
    <w:next w:val="892"/>
    <w:link w:val="893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893">
    <w:name w:val="Основной текст Знак"/>
    <w:next w:val="893"/>
    <w:link w:val="892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894">
    <w:name w:val="Абзац списка"/>
    <w:basedOn w:val="882"/>
    <w:next w:val="894"/>
    <w:link w:val="882"/>
    <w:uiPriority w:val="34"/>
    <w:qFormat/>
    <w:pPr>
      <w:contextualSpacing/>
      <w:ind w:left="720"/>
    </w:pPr>
  </w:style>
  <w:style w:type="paragraph" w:styleId="895">
    <w:name w:val="Нижний колонтитул"/>
    <w:basedOn w:val="882"/>
    <w:next w:val="895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next w:val="896"/>
    <w:link w:val="895"/>
    <w:uiPriority w:val="99"/>
    <w:rPr>
      <w:rFonts w:ascii="Calibri" w:hAnsi="Calibri" w:cs="Times New Roman"/>
    </w:rPr>
  </w:style>
  <w:style w:type="paragraph" w:styleId="897">
    <w:name w:val="Текст выноски"/>
    <w:basedOn w:val="882"/>
    <w:next w:val="897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>
    <w:name w:val="ConsPlusTitle"/>
    <w:next w:val="899"/>
    <w:link w:val="882"/>
    <w:pPr>
      <w:widowControl w:val="off"/>
    </w:pPr>
    <w:rPr>
      <w:b/>
      <w:sz w:val="22"/>
      <w:lang w:val="ru-RU" w:eastAsia="ru-RU" w:bidi="ar-SA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251</cp:revision>
  <dcterms:created xsi:type="dcterms:W3CDTF">2020-11-01T01:35:00Z</dcterms:created>
  <dcterms:modified xsi:type="dcterms:W3CDTF">2023-12-05T01:36:28Z</dcterms:modified>
  <cp:version>917504</cp:version>
</cp:coreProperties>
</file>